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9172CD">
      <w:pPr>
        <w:snapToGrid w:val="0"/>
        <w:spacing w:line="594" w:lineRule="exact"/>
        <w:jc w:val="center"/>
        <w:rPr>
          <w:rFonts w:eastAsia="方正小标宋简体"/>
          <w:sz w:val="32"/>
          <w:szCs w:val="32"/>
        </w:rPr>
      </w:pPr>
      <w:r>
        <w:rPr>
          <w:rFonts w:hint="eastAsia" w:eastAsia="方正小标宋简体"/>
          <w:sz w:val="32"/>
          <w:szCs w:val="32"/>
        </w:rPr>
        <w:t>202</w:t>
      </w:r>
      <w:r>
        <w:rPr>
          <w:rFonts w:hint="eastAsia" w:eastAsiaTheme="minorEastAsia"/>
          <w:sz w:val="32"/>
          <w:szCs w:val="32"/>
          <w:lang w:val="en-US" w:eastAsia="zh-CN"/>
        </w:rPr>
        <w:t>6</w:t>
      </w:r>
      <w:r>
        <w:rPr>
          <w:rFonts w:hint="eastAsia" w:eastAsia="方正小标宋简体"/>
          <w:sz w:val="32"/>
          <w:szCs w:val="32"/>
        </w:rPr>
        <w:t>年福州市液化石油气质量监督抽查实施细则</w:t>
      </w:r>
    </w:p>
    <w:p w14:paraId="70F1B332">
      <w:pPr>
        <w:snapToGrid w:val="0"/>
        <w:spacing w:line="594" w:lineRule="exact"/>
        <w:jc w:val="center"/>
        <w:rPr>
          <w:rFonts w:eastAsia="方正小标宋简体"/>
          <w:sz w:val="32"/>
          <w:szCs w:val="32"/>
        </w:rPr>
      </w:pPr>
    </w:p>
    <w:p w14:paraId="2F9484EC">
      <w:pPr>
        <w:numPr>
          <w:ilvl w:val="0"/>
          <w:numId w:val="1"/>
        </w:numPr>
        <w:snapToGrid w:val="0"/>
        <w:spacing w:line="440" w:lineRule="exact"/>
        <w:rPr>
          <w:rFonts w:ascii="黑体" w:hAnsi="宋体" w:eastAsia="黑体"/>
          <w:color w:val="000000"/>
          <w:szCs w:val="21"/>
        </w:rPr>
      </w:pPr>
      <w:r>
        <w:rPr>
          <w:rFonts w:hint="eastAsia" w:ascii="黑体" w:hAnsi="宋体" w:eastAsia="黑体"/>
          <w:color w:val="000000"/>
          <w:szCs w:val="21"/>
        </w:rPr>
        <w:t>抽样方法</w:t>
      </w:r>
    </w:p>
    <w:p w14:paraId="675F8B8D">
      <w:pPr>
        <w:snapToGrid w:val="0"/>
        <w:spacing w:line="440" w:lineRule="exact"/>
        <w:ind w:left="359" w:leftChars="171" w:firstLine="105" w:firstLineChars="50"/>
        <w:rPr>
          <w:rFonts w:ascii="宋体" w:hAnsi="宋体"/>
          <w:color w:val="000000"/>
          <w:szCs w:val="21"/>
        </w:rPr>
      </w:pPr>
      <w:r>
        <w:rPr>
          <w:rFonts w:hint="eastAsia" w:ascii="宋体" w:hAnsi="宋体"/>
          <w:color w:val="000000"/>
          <w:szCs w:val="21"/>
        </w:rPr>
        <w:t>以随机抽样的方式在被抽样销售者的待销产品中抽取。</w:t>
      </w:r>
      <w:bookmarkStart w:id="0" w:name="_GoBack"/>
      <w:bookmarkEnd w:id="0"/>
    </w:p>
    <w:p w14:paraId="49828203">
      <w:pPr>
        <w:snapToGrid w:val="0"/>
        <w:spacing w:line="440" w:lineRule="exact"/>
        <w:ind w:left="359" w:leftChars="171" w:firstLine="105" w:firstLineChars="50"/>
        <w:rPr>
          <w:rFonts w:ascii="宋体" w:hAnsi="宋体"/>
          <w:color w:val="000000"/>
          <w:szCs w:val="21"/>
        </w:rPr>
      </w:pPr>
      <w:r>
        <w:rPr>
          <w:rFonts w:hint="eastAsia" w:ascii="宋体" w:hAnsi="宋体"/>
          <w:color w:val="000000"/>
          <w:szCs w:val="21"/>
        </w:rPr>
        <w:t>随机数一般可使用随机数表等方法产生。</w:t>
      </w:r>
    </w:p>
    <w:p w14:paraId="6CCCD2CB">
      <w:pPr>
        <w:autoSpaceDE w:val="0"/>
        <w:autoSpaceDN w:val="0"/>
        <w:adjustRightInd w:val="0"/>
        <w:spacing w:line="400" w:lineRule="exact"/>
        <w:ind w:firstLine="420" w:firstLineChars="200"/>
        <w:jc w:val="left"/>
        <w:rPr>
          <w:rFonts w:ascii="黑体" w:hAnsi="宋体" w:eastAsia="黑体"/>
          <w:color w:val="000000"/>
          <w:szCs w:val="21"/>
        </w:rPr>
      </w:pPr>
      <w:r>
        <w:rPr>
          <w:rFonts w:hint="eastAsia" w:ascii="宋体" w:hAnsi="宋体"/>
          <w:color w:val="000000"/>
          <w:szCs w:val="21"/>
        </w:rPr>
        <w:t xml:space="preserve">每批次产品抽取2瓶样品，一瓶为检验样,一瓶为备用样，每瓶样品量不低于2500mL。 </w:t>
      </w:r>
    </w:p>
    <w:p w14:paraId="2575C212">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tbl>
      <w:tblPr>
        <w:tblStyle w:val="6"/>
        <w:tblW w:w="87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1701"/>
        <w:gridCol w:w="2551"/>
        <w:gridCol w:w="3616"/>
      </w:tblGrid>
      <w:tr w14:paraId="42C1D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97" w:type="dxa"/>
            <w:vAlign w:val="center"/>
          </w:tcPr>
          <w:p w14:paraId="31BC2620">
            <w:pPr>
              <w:snapToGrid w:val="0"/>
              <w:jc w:val="center"/>
              <w:rPr>
                <w:rFonts w:ascii="宋体" w:hAnsi="宋体"/>
                <w:color w:val="000000"/>
                <w:szCs w:val="21"/>
              </w:rPr>
            </w:pPr>
            <w:r>
              <w:rPr>
                <w:rFonts w:hint="eastAsia" w:ascii="宋体" w:hAnsi="宋体"/>
                <w:color w:val="000000"/>
                <w:szCs w:val="21"/>
              </w:rPr>
              <w:t>序号</w:t>
            </w:r>
          </w:p>
        </w:tc>
        <w:tc>
          <w:tcPr>
            <w:tcW w:w="1701" w:type="dxa"/>
            <w:vAlign w:val="center"/>
          </w:tcPr>
          <w:p w14:paraId="3320D14F">
            <w:pPr>
              <w:snapToGrid w:val="0"/>
              <w:jc w:val="center"/>
              <w:rPr>
                <w:rFonts w:ascii="宋体" w:hAnsi="宋体"/>
                <w:color w:val="000000"/>
                <w:szCs w:val="21"/>
              </w:rPr>
            </w:pPr>
            <w:r>
              <w:rPr>
                <w:rFonts w:hint="eastAsia" w:ascii="宋体" w:hAnsi="宋体"/>
                <w:color w:val="000000"/>
                <w:szCs w:val="21"/>
              </w:rPr>
              <w:t>检验项目</w:t>
            </w:r>
          </w:p>
        </w:tc>
        <w:tc>
          <w:tcPr>
            <w:tcW w:w="2551" w:type="dxa"/>
          </w:tcPr>
          <w:p w14:paraId="7F155262">
            <w:pPr>
              <w:snapToGrid w:val="0"/>
              <w:spacing w:line="440" w:lineRule="exact"/>
              <w:jc w:val="center"/>
              <w:rPr>
                <w:szCs w:val="21"/>
              </w:rPr>
            </w:pPr>
            <w:r>
              <w:rPr>
                <w:rFonts w:hint="eastAsia"/>
                <w:szCs w:val="21"/>
              </w:rPr>
              <w:t>检验依据</w:t>
            </w:r>
          </w:p>
        </w:tc>
        <w:tc>
          <w:tcPr>
            <w:tcW w:w="3616" w:type="dxa"/>
          </w:tcPr>
          <w:p w14:paraId="0F9B5243">
            <w:pPr>
              <w:snapToGrid w:val="0"/>
              <w:spacing w:line="440" w:lineRule="exact"/>
              <w:jc w:val="center"/>
              <w:rPr>
                <w:szCs w:val="21"/>
              </w:rPr>
            </w:pPr>
            <w:r>
              <w:rPr>
                <w:szCs w:val="21"/>
              </w:rPr>
              <w:t>检验方法</w:t>
            </w:r>
          </w:p>
        </w:tc>
      </w:tr>
      <w:tr w14:paraId="08CBB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97" w:type="dxa"/>
            <w:vAlign w:val="center"/>
          </w:tcPr>
          <w:p w14:paraId="2F902FB5">
            <w:pPr>
              <w:snapToGrid w:val="0"/>
              <w:jc w:val="center"/>
              <w:rPr>
                <w:rFonts w:ascii="宋体" w:hAnsi="宋体"/>
                <w:color w:val="000000"/>
                <w:szCs w:val="21"/>
              </w:rPr>
            </w:pPr>
            <w:r>
              <w:rPr>
                <w:rFonts w:hint="eastAsia" w:ascii="宋体" w:hAnsi="宋体" w:cs="宋体"/>
                <w:kern w:val="0"/>
                <w:szCs w:val="21"/>
              </w:rPr>
              <w:t>1</w:t>
            </w:r>
          </w:p>
        </w:tc>
        <w:tc>
          <w:tcPr>
            <w:tcW w:w="1701" w:type="dxa"/>
            <w:vAlign w:val="center"/>
          </w:tcPr>
          <w:p w14:paraId="5548A7E5">
            <w:pPr>
              <w:snapToGrid w:val="0"/>
              <w:jc w:val="center"/>
              <w:rPr>
                <w:rFonts w:ascii="宋体" w:hAnsi="宋体"/>
                <w:color w:val="000000"/>
                <w:szCs w:val="21"/>
              </w:rPr>
            </w:pPr>
            <w:r>
              <w:rPr>
                <w:rFonts w:hint="eastAsia" w:ascii="宋体" w:hAnsi="宋体" w:cs="宋体"/>
                <w:kern w:val="0"/>
                <w:szCs w:val="21"/>
              </w:rPr>
              <w:t>蒸气压</w:t>
            </w:r>
          </w:p>
        </w:tc>
        <w:tc>
          <w:tcPr>
            <w:tcW w:w="2551" w:type="dxa"/>
            <w:vAlign w:val="center"/>
          </w:tcPr>
          <w:p w14:paraId="3B98FC5A">
            <w:pPr>
              <w:snapToGrid w:val="0"/>
              <w:jc w:val="center"/>
              <w:rPr>
                <w:rFonts w:ascii="宋体" w:hAnsi="宋体"/>
                <w:color w:val="000000"/>
                <w:szCs w:val="21"/>
              </w:rPr>
            </w:pPr>
            <w:r>
              <w:rPr>
                <w:rFonts w:hint="eastAsia" w:ascii="宋体" w:hAnsi="宋体" w:cs="宋体"/>
                <w:kern w:val="0"/>
                <w:szCs w:val="21"/>
              </w:rPr>
              <w:t>GB 11174-2011</w:t>
            </w:r>
          </w:p>
        </w:tc>
        <w:tc>
          <w:tcPr>
            <w:tcW w:w="3616" w:type="dxa"/>
            <w:vAlign w:val="center"/>
          </w:tcPr>
          <w:p w14:paraId="25B6370D">
            <w:pPr>
              <w:snapToGrid w:val="0"/>
              <w:jc w:val="center"/>
              <w:rPr>
                <w:rFonts w:ascii="宋体" w:hAnsi="宋体"/>
                <w:color w:val="000000"/>
                <w:szCs w:val="21"/>
              </w:rPr>
            </w:pPr>
            <w:r>
              <w:rPr>
                <w:rFonts w:hint="eastAsia" w:ascii="宋体" w:hAnsi="宋体"/>
                <w:szCs w:val="21"/>
              </w:rPr>
              <w:t>GB/T 12576</w:t>
            </w:r>
          </w:p>
        </w:tc>
      </w:tr>
      <w:tr w14:paraId="63C9A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97" w:type="dxa"/>
            <w:vAlign w:val="center"/>
          </w:tcPr>
          <w:p w14:paraId="355C1BBC">
            <w:pPr>
              <w:snapToGrid w:val="0"/>
              <w:jc w:val="center"/>
              <w:rPr>
                <w:rFonts w:ascii="宋体" w:hAnsi="宋体"/>
                <w:color w:val="000000"/>
                <w:szCs w:val="21"/>
              </w:rPr>
            </w:pPr>
            <w:r>
              <w:rPr>
                <w:rFonts w:hint="eastAsia" w:ascii="宋体" w:hAnsi="宋体" w:cs="宋体"/>
                <w:kern w:val="0"/>
                <w:szCs w:val="21"/>
              </w:rPr>
              <w:t>2</w:t>
            </w:r>
          </w:p>
        </w:tc>
        <w:tc>
          <w:tcPr>
            <w:tcW w:w="1701" w:type="dxa"/>
            <w:vAlign w:val="center"/>
          </w:tcPr>
          <w:p w14:paraId="706E1030">
            <w:pPr>
              <w:snapToGrid w:val="0"/>
              <w:jc w:val="center"/>
              <w:rPr>
                <w:rFonts w:ascii="宋体" w:hAnsi="宋体"/>
                <w:color w:val="000000"/>
                <w:szCs w:val="21"/>
              </w:rPr>
            </w:pPr>
            <w:r>
              <w:rPr>
                <w:rFonts w:hint="eastAsia" w:ascii="宋体" w:hAnsi="宋体" w:cs="宋体"/>
                <w:kern w:val="0"/>
                <w:szCs w:val="21"/>
              </w:rPr>
              <w:t>组分</w:t>
            </w:r>
            <w:r>
              <w:rPr>
                <w:rFonts w:hint="eastAsia" w:ascii="宋体" w:hAnsi="宋体"/>
                <w:sz w:val="18"/>
                <w:szCs w:val="18"/>
                <w:vertAlign w:val="superscript"/>
              </w:rPr>
              <w:t>①</w:t>
            </w:r>
          </w:p>
        </w:tc>
        <w:tc>
          <w:tcPr>
            <w:tcW w:w="2551" w:type="dxa"/>
            <w:vAlign w:val="center"/>
          </w:tcPr>
          <w:p w14:paraId="35E7292D">
            <w:pPr>
              <w:snapToGrid w:val="0"/>
              <w:jc w:val="center"/>
              <w:rPr>
                <w:rFonts w:ascii="宋体" w:hAnsi="宋体"/>
                <w:color w:val="000000"/>
                <w:szCs w:val="21"/>
              </w:rPr>
            </w:pPr>
            <w:r>
              <w:rPr>
                <w:rFonts w:hint="eastAsia" w:ascii="宋体" w:hAnsi="宋体" w:cs="宋体"/>
                <w:kern w:val="0"/>
                <w:szCs w:val="21"/>
              </w:rPr>
              <w:t>GB 11174-2011</w:t>
            </w:r>
          </w:p>
        </w:tc>
        <w:tc>
          <w:tcPr>
            <w:tcW w:w="3616" w:type="dxa"/>
            <w:vAlign w:val="center"/>
          </w:tcPr>
          <w:p w14:paraId="3A5CE864">
            <w:pPr>
              <w:snapToGrid w:val="0"/>
              <w:jc w:val="center"/>
              <w:rPr>
                <w:rFonts w:ascii="宋体" w:hAnsi="宋体"/>
                <w:szCs w:val="21"/>
              </w:rPr>
            </w:pPr>
            <w:r>
              <w:rPr>
                <w:rFonts w:hint="eastAsia" w:ascii="宋体" w:hAnsi="宋体"/>
                <w:szCs w:val="21"/>
              </w:rPr>
              <w:t>SH/T 0230</w:t>
            </w:r>
          </w:p>
        </w:tc>
      </w:tr>
      <w:tr w14:paraId="4F47E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97" w:type="dxa"/>
            <w:vAlign w:val="center"/>
          </w:tcPr>
          <w:p w14:paraId="0FED91EB">
            <w:pPr>
              <w:snapToGrid w:val="0"/>
              <w:jc w:val="center"/>
              <w:rPr>
                <w:rFonts w:ascii="宋体" w:hAnsi="宋体"/>
                <w:color w:val="000000"/>
                <w:szCs w:val="21"/>
              </w:rPr>
            </w:pPr>
            <w:r>
              <w:rPr>
                <w:rFonts w:hint="eastAsia" w:ascii="宋体" w:hAnsi="宋体" w:cs="宋体"/>
                <w:kern w:val="0"/>
                <w:szCs w:val="21"/>
              </w:rPr>
              <w:t>3</w:t>
            </w:r>
          </w:p>
        </w:tc>
        <w:tc>
          <w:tcPr>
            <w:tcW w:w="1701" w:type="dxa"/>
            <w:vAlign w:val="center"/>
          </w:tcPr>
          <w:p w14:paraId="3A1E39EC">
            <w:pPr>
              <w:snapToGrid w:val="0"/>
              <w:jc w:val="center"/>
              <w:rPr>
                <w:rFonts w:ascii="宋体" w:hAnsi="宋体"/>
                <w:kern w:val="0"/>
                <w:szCs w:val="21"/>
              </w:rPr>
            </w:pPr>
            <w:r>
              <w:rPr>
                <w:rFonts w:hint="eastAsia" w:ascii="宋体" w:hAnsi="宋体" w:cs="宋体"/>
                <w:kern w:val="0"/>
                <w:szCs w:val="21"/>
              </w:rPr>
              <w:t>残留物</w:t>
            </w:r>
          </w:p>
        </w:tc>
        <w:tc>
          <w:tcPr>
            <w:tcW w:w="2551" w:type="dxa"/>
            <w:vAlign w:val="center"/>
          </w:tcPr>
          <w:p w14:paraId="38B19D03">
            <w:pPr>
              <w:snapToGrid w:val="0"/>
              <w:jc w:val="center"/>
              <w:rPr>
                <w:rFonts w:ascii="宋体" w:hAnsi="宋体"/>
                <w:color w:val="000000"/>
                <w:szCs w:val="21"/>
              </w:rPr>
            </w:pPr>
            <w:r>
              <w:rPr>
                <w:rFonts w:hint="eastAsia" w:ascii="宋体" w:hAnsi="宋体" w:cs="宋体"/>
                <w:kern w:val="0"/>
                <w:szCs w:val="21"/>
              </w:rPr>
              <w:t>GB 11174-2011</w:t>
            </w:r>
          </w:p>
        </w:tc>
        <w:tc>
          <w:tcPr>
            <w:tcW w:w="3616" w:type="dxa"/>
            <w:vAlign w:val="center"/>
          </w:tcPr>
          <w:p w14:paraId="0ADF40BA">
            <w:pPr>
              <w:snapToGrid w:val="0"/>
              <w:jc w:val="center"/>
              <w:rPr>
                <w:rFonts w:ascii="宋体" w:hAnsi="宋体"/>
                <w:kern w:val="0"/>
                <w:szCs w:val="21"/>
              </w:rPr>
            </w:pPr>
            <w:r>
              <w:rPr>
                <w:rFonts w:hint="eastAsia" w:ascii="宋体" w:hAnsi="宋体"/>
                <w:szCs w:val="21"/>
              </w:rPr>
              <w:t>SY/T 7509</w:t>
            </w:r>
          </w:p>
        </w:tc>
      </w:tr>
      <w:tr w14:paraId="75C13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97" w:type="dxa"/>
            <w:vAlign w:val="center"/>
          </w:tcPr>
          <w:p w14:paraId="01B7BC75">
            <w:pPr>
              <w:snapToGrid w:val="0"/>
              <w:jc w:val="center"/>
              <w:rPr>
                <w:rFonts w:ascii="宋体" w:hAnsi="宋体"/>
                <w:kern w:val="0"/>
                <w:szCs w:val="21"/>
              </w:rPr>
            </w:pPr>
            <w:r>
              <w:rPr>
                <w:rFonts w:hint="eastAsia" w:ascii="宋体" w:hAnsi="宋体" w:cs="宋体"/>
                <w:kern w:val="0"/>
                <w:szCs w:val="21"/>
              </w:rPr>
              <w:t>4</w:t>
            </w:r>
          </w:p>
        </w:tc>
        <w:tc>
          <w:tcPr>
            <w:tcW w:w="1701" w:type="dxa"/>
            <w:vAlign w:val="center"/>
          </w:tcPr>
          <w:p w14:paraId="1B10311D">
            <w:pPr>
              <w:snapToGrid w:val="0"/>
              <w:jc w:val="center"/>
              <w:rPr>
                <w:rFonts w:ascii="宋体" w:hAnsi="宋体"/>
                <w:szCs w:val="21"/>
              </w:rPr>
            </w:pPr>
            <w:r>
              <w:rPr>
                <w:rFonts w:hint="eastAsia" w:ascii="宋体" w:hAnsi="宋体" w:cs="宋体"/>
                <w:kern w:val="0"/>
                <w:szCs w:val="21"/>
              </w:rPr>
              <w:t>铜片腐蚀</w:t>
            </w:r>
          </w:p>
        </w:tc>
        <w:tc>
          <w:tcPr>
            <w:tcW w:w="2551" w:type="dxa"/>
            <w:vAlign w:val="center"/>
          </w:tcPr>
          <w:p w14:paraId="47BEBD93">
            <w:pPr>
              <w:snapToGrid w:val="0"/>
              <w:jc w:val="center"/>
              <w:rPr>
                <w:rFonts w:ascii="宋体" w:hAnsi="宋体"/>
                <w:color w:val="000000"/>
                <w:szCs w:val="21"/>
              </w:rPr>
            </w:pPr>
            <w:r>
              <w:rPr>
                <w:rFonts w:hint="eastAsia" w:ascii="宋体" w:hAnsi="宋体" w:cs="宋体"/>
                <w:kern w:val="0"/>
                <w:szCs w:val="21"/>
              </w:rPr>
              <w:t>GB 11174-2011</w:t>
            </w:r>
          </w:p>
        </w:tc>
        <w:tc>
          <w:tcPr>
            <w:tcW w:w="3616" w:type="dxa"/>
            <w:vAlign w:val="center"/>
          </w:tcPr>
          <w:p w14:paraId="02CBFC8A">
            <w:pPr>
              <w:snapToGrid w:val="0"/>
              <w:jc w:val="center"/>
              <w:rPr>
                <w:rFonts w:ascii="宋体" w:hAnsi="宋体"/>
                <w:kern w:val="0"/>
                <w:szCs w:val="21"/>
              </w:rPr>
            </w:pPr>
            <w:r>
              <w:rPr>
                <w:rFonts w:hint="eastAsia" w:ascii="宋体" w:hAnsi="宋体" w:cs="宋体"/>
                <w:kern w:val="0"/>
                <w:szCs w:val="21"/>
              </w:rPr>
              <w:t>SH/T 0232</w:t>
            </w:r>
          </w:p>
        </w:tc>
      </w:tr>
      <w:tr w14:paraId="38636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97" w:type="dxa"/>
            <w:vAlign w:val="center"/>
          </w:tcPr>
          <w:p w14:paraId="27DD0DDE">
            <w:pPr>
              <w:snapToGrid w:val="0"/>
              <w:jc w:val="center"/>
              <w:rPr>
                <w:rFonts w:ascii="宋体" w:hAnsi="宋体"/>
                <w:kern w:val="0"/>
                <w:szCs w:val="21"/>
              </w:rPr>
            </w:pPr>
            <w:r>
              <w:rPr>
                <w:rFonts w:hint="eastAsia" w:ascii="宋体" w:hAnsi="宋体" w:cs="宋体"/>
                <w:kern w:val="0"/>
                <w:szCs w:val="21"/>
              </w:rPr>
              <w:t>5</w:t>
            </w:r>
          </w:p>
        </w:tc>
        <w:tc>
          <w:tcPr>
            <w:tcW w:w="1701" w:type="dxa"/>
            <w:vAlign w:val="center"/>
          </w:tcPr>
          <w:p w14:paraId="639DF464">
            <w:pPr>
              <w:snapToGrid w:val="0"/>
              <w:jc w:val="center"/>
              <w:rPr>
                <w:rFonts w:ascii="宋体" w:hAnsi="宋体"/>
                <w:szCs w:val="21"/>
              </w:rPr>
            </w:pPr>
            <w:r>
              <w:rPr>
                <w:rFonts w:hint="eastAsia" w:ascii="宋体" w:hAnsi="宋体" w:cs="宋体"/>
                <w:kern w:val="0"/>
                <w:szCs w:val="21"/>
              </w:rPr>
              <w:t>总硫含量</w:t>
            </w:r>
          </w:p>
        </w:tc>
        <w:tc>
          <w:tcPr>
            <w:tcW w:w="2551" w:type="dxa"/>
            <w:vAlign w:val="center"/>
          </w:tcPr>
          <w:p w14:paraId="6D00F2CB">
            <w:pPr>
              <w:snapToGrid w:val="0"/>
              <w:jc w:val="center"/>
              <w:rPr>
                <w:rFonts w:ascii="宋体" w:hAnsi="宋体"/>
                <w:color w:val="000000"/>
                <w:szCs w:val="21"/>
              </w:rPr>
            </w:pPr>
            <w:r>
              <w:rPr>
                <w:rFonts w:hint="eastAsia" w:ascii="宋体" w:hAnsi="宋体" w:cs="宋体"/>
                <w:kern w:val="0"/>
                <w:szCs w:val="21"/>
              </w:rPr>
              <w:t>GB 11174-2011</w:t>
            </w:r>
          </w:p>
        </w:tc>
        <w:tc>
          <w:tcPr>
            <w:tcW w:w="3616" w:type="dxa"/>
            <w:vAlign w:val="center"/>
          </w:tcPr>
          <w:p w14:paraId="20D32839">
            <w:pPr>
              <w:snapToGrid w:val="0"/>
              <w:jc w:val="center"/>
              <w:rPr>
                <w:rFonts w:ascii="宋体" w:hAnsi="宋体" w:cs="宋体"/>
                <w:kern w:val="0"/>
                <w:szCs w:val="21"/>
              </w:rPr>
            </w:pPr>
            <w:r>
              <w:rPr>
                <w:rFonts w:hint="eastAsia" w:ascii="宋体" w:hAnsi="宋体" w:cs="宋体"/>
                <w:kern w:val="0"/>
                <w:szCs w:val="21"/>
              </w:rPr>
              <w:t>SH/T 0222或NB/SH/T 0917</w:t>
            </w:r>
          </w:p>
        </w:tc>
      </w:tr>
      <w:tr w14:paraId="0FFD6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97" w:type="dxa"/>
            <w:vAlign w:val="center"/>
          </w:tcPr>
          <w:p w14:paraId="6499E4EC">
            <w:pPr>
              <w:snapToGrid w:val="0"/>
              <w:jc w:val="center"/>
              <w:rPr>
                <w:rFonts w:ascii="宋体" w:hAnsi="宋体"/>
                <w:kern w:val="0"/>
                <w:szCs w:val="21"/>
              </w:rPr>
            </w:pPr>
            <w:r>
              <w:rPr>
                <w:rFonts w:hint="eastAsia" w:ascii="宋体" w:hAnsi="宋体" w:cs="宋体"/>
                <w:kern w:val="0"/>
                <w:szCs w:val="21"/>
              </w:rPr>
              <w:t>6</w:t>
            </w:r>
          </w:p>
        </w:tc>
        <w:tc>
          <w:tcPr>
            <w:tcW w:w="1701" w:type="dxa"/>
            <w:vAlign w:val="center"/>
          </w:tcPr>
          <w:p w14:paraId="24D180A2">
            <w:pPr>
              <w:snapToGrid w:val="0"/>
              <w:jc w:val="center"/>
              <w:rPr>
                <w:rFonts w:ascii="宋体" w:hAnsi="宋体"/>
                <w:kern w:val="0"/>
                <w:szCs w:val="21"/>
              </w:rPr>
            </w:pPr>
            <w:r>
              <w:rPr>
                <w:rFonts w:hint="eastAsia" w:ascii="宋体" w:hAnsi="宋体" w:cs="宋体"/>
                <w:kern w:val="0"/>
                <w:szCs w:val="21"/>
              </w:rPr>
              <w:t>硫化氢</w:t>
            </w:r>
            <w:r>
              <w:rPr>
                <w:rFonts w:hint="eastAsia" w:ascii="宋体" w:hAnsi="宋体"/>
                <w:sz w:val="18"/>
                <w:szCs w:val="18"/>
                <w:vertAlign w:val="superscript"/>
              </w:rPr>
              <w:t>②</w:t>
            </w:r>
          </w:p>
        </w:tc>
        <w:tc>
          <w:tcPr>
            <w:tcW w:w="2551" w:type="dxa"/>
            <w:vAlign w:val="center"/>
          </w:tcPr>
          <w:p w14:paraId="2864808A">
            <w:pPr>
              <w:snapToGrid w:val="0"/>
              <w:jc w:val="center"/>
              <w:rPr>
                <w:rFonts w:ascii="宋体" w:hAnsi="宋体"/>
                <w:color w:val="000000"/>
                <w:szCs w:val="21"/>
              </w:rPr>
            </w:pPr>
            <w:r>
              <w:rPr>
                <w:rFonts w:hint="eastAsia" w:ascii="宋体" w:hAnsi="宋体" w:cs="宋体"/>
                <w:kern w:val="0"/>
                <w:szCs w:val="21"/>
              </w:rPr>
              <w:t>GB 11174-2011</w:t>
            </w:r>
          </w:p>
        </w:tc>
        <w:tc>
          <w:tcPr>
            <w:tcW w:w="3616" w:type="dxa"/>
            <w:vAlign w:val="center"/>
          </w:tcPr>
          <w:p w14:paraId="68375125">
            <w:pPr>
              <w:jc w:val="center"/>
              <w:rPr>
                <w:rFonts w:ascii="宋体" w:hAnsi="宋体"/>
                <w:kern w:val="0"/>
                <w:szCs w:val="21"/>
              </w:rPr>
            </w:pPr>
            <w:r>
              <w:rPr>
                <w:rFonts w:hint="eastAsia" w:ascii="宋体" w:hAnsi="宋体" w:cs="宋体"/>
                <w:kern w:val="0"/>
                <w:szCs w:val="21"/>
              </w:rPr>
              <w:t>SH/T 0125或SH/T 0231</w:t>
            </w:r>
          </w:p>
        </w:tc>
      </w:tr>
      <w:tr w14:paraId="135B3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97" w:type="dxa"/>
            <w:vAlign w:val="center"/>
          </w:tcPr>
          <w:p w14:paraId="10D23A62">
            <w:pPr>
              <w:snapToGrid w:val="0"/>
              <w:jc w:val="center"/>
              <w:rPr>
                <w:rFonts w:ascii="宋体" w:hAnsi="宋体"/>
                <w:kern w:val="0"/>
                <w:szCs w:val="21"/>
              </w:rPr>
            </w:pPr>
            <w:r>
              <w:rPr>
                <w:rFonts w:hint="eastAsia" w:ascii="宋体" w:hAnsi="宋体" w:cs="宋体"/>
                <w:kern w:val="0"/>
                <w:szCs w:val="21"/>
              </w:rPr>
              <w:t>7</w:t>
            </w:r>
          </w:p>
        </w:tc>
        <w:tc>
          <w:tcPr>
            <w:tcW w:w="1701" w:type="dxa"/>
            <w:vAlign w:val="center"/>
          </w:tcPr>
          <w:p w14:paraId="17428D26">
            <w:pPr>
              <w:snapToGrid w:val="0"/>
              <w:jc w:val="center"/>
              <w:rPr>
                <w:rFonts w:ascii="宋体" w:hAnsi="宋体"/>
                <w:kern w:val="0"/>
                <w:szCs w:val="21"/>
              </w:rPr>
            </w:pPr>
            <w:r>
              <w:rPr>
                <w:rFonts w:hint="eastAsia" w:ascii="宋体" w:hAnsi="宋体" w:cs="宋体"/>
                <w:kern w:val="0"/>
                <w:szCs w:val="21"/>
              </w:rPr>
              <w:t>游离水</w:t>
            </w:r>
            <w:r>
              <w:rPr>
                <w:rFonts w:hint="eastAsia" w:ascii="宋体" w:hAnsi="宋体"/>
                <w:sz w:val="18"/>
                <w:szCs w:val="18"/>
                <w:vertAlign w:val="superscript"/>
              </w:rPr>
              <w:t>③</w:t>
            </w:r>
          </w:p>
        </w:tc>
        <w:tc>
          <w:tcPr>
            <w:tcW w:w="2551" w:type="dxa"/>
            <w:vAlign w:val="center"/>
          </w:tcPr>
          <w:p w14:paraId="6B67FDE8">
            <w:pPr>
              <w:snapToGrid w:val="0"/>
              <w:jc w:val="center"/>
              <w:rPr>
                <w:rFonts w:ascii="宋体" w:hAnsi="宋体"/>
                <w:color w:val="000000"/>
                <w:szCs w:val="21"/>
              </w:rPr>
            </w:pPr>
            <w:r>
              <w:rPr>
                <w:rFonts w:hint="eastAsia" w:ascii="宋体" w:hAnsi="宋体" w:cs="宋体"/>
                <w:kern w:val="0"/>
                <w:szCs w:val="21"/>
              </w:rPr>
              <w:t>GB 11174-2011</w:t>
            </w:r>
          </w:p>
        </w:tc>
        <w:tc>
          <w:tcPr>
            <w:tcW w:w="3616" w:type="dxa"/>
            <w:vAlign w:val="center"/>
          </w:tcPr>
          <w:p w14:paraId="16CB8317">
            <w:pPr>
              <w:widowControl/>
              <w:jc w:val="center"/>
              <w:rPr>
                <w:rFonts w:ascii="宋体" w:hAnsi="宋体"/>
                <w:color w:val="FF0000"/>
                <w:szCs w:val="21"/>
              </w:rPr>
            </w:pPr>
            <w:r>
              <w:rPr>
                <w:rFonts w:hint="eastAsia" w:ascii="宋体" w:hAnsi="宋体" w:cs="宋体"/>
                <w:kern w:val="0"/>
                <w:szCs w:val="21"/>
              </w:rPr>
              <w:t>目测</w:t>
            </w:r>
          </w:p>
        </w:tc>
      </w:tr>
      <w:tr w14:paraId="7D805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8765" w:type="dxa"/>
            <w:gridSpan w:val="4"/>
            <w:vAlign w:val="center"/>
          </w:tcPr>
          <w:p w14:paraId="67DEAD7E">
            <w:pPr>
              <w:widowControl/>
              <w:rPr>
                <w:rFonts w:ascii="宋体" w:hAnsi="宋体"/>
                <w:kern w:val="0"/>
                <w:sz w:val="18"/>
                <w:szCs w:val="18"/>
              </w:rPr>
            </w:pPr>
            <w:r>
              <w:rPr>
                <w:rFonts w:hint="eastAsia" w:ascii="宋体" w:hAnsi="宋体"/>
                <w:sz w:val="18"/>
                <w:szCs w:val="18"/>
              </w:rPr>
              <w:t>注：①</w:t>
            </w:r>
            <w:r>
              <w:rPr>
                <w:rFonts w:hint="eastAsia" w:ascii="宋体" w:hAnsi="宋体"/>
                <w:kern w:val="0"/>
                <w:sz w:val="18"/>
                <w:szCs w:val="18"/>
              </w:rPr>
              <w:t>液化石油气中不允许人为加入除加臭剂以外的非烃类化合物；</w:t>
            </w:r>
          </w:p>
          <w:p w14:paraId="5E8CC8B3">
            <w:pPr>
              <w:widowControl/>
              <w:rPr>
                <w:rFonts w:ascii="宋体" w:hAnsi="宋体"/>
                <w:sz w:val="18"/>
                <w:szCs w:val="18"/>
              </w:rPr>
            </w:pPr>
            <w:r>
              <w:rPr>
                <w:rFonts w:hint="eastAsia" w:ascii="宋体" w:hAnsi="宋体"/>
                <w:sz w:val="18"/>
                <w:szCs w:val="18"/>
              </w:rPr>
              <w:t>②满足乙酸铅法或层析法要求之一；</w:t>
            </w:r>
          </w:p>
          <w:p w14:paraId="7BDB9CEB">
            <w:pPr>
              <w:widowControl/>
              <w:rPr>
                <w:rFonts w:ascii="宋体" w:hAnsi="宋体"/>
                <w:sz w:val="18"/>
                <w:szCs w:val="18"/>
              </w:rPr>
            </w:pPr>
            <w:r>
              <w:rPr>
                <w:rFonts w:hint="eastAsia" w:ascii="宋体" w:hAnsi="宋体"/>
                <w:sz w:val="18"/>
                <w:szCs w:val="18"/>
              </w:rPr>
              <w:t>③有争议时需采用SH/T 0221的仪器和试验条件目测是否存在游离水。</w:t>
            </w:r>
          </w:p>
        </w:tc>
      </w:tr>
    </w:tbl>
    <w:p w14:paraId="24710802">
      <w:pPr>
        <w:snapToGrid w:val="0"/>
        <w:spacing w:line="440" w:lineRule="exact"/>
        <w:rPr>
          <w:rFonts w:ascii="宋体" w:hAnsi="宋体"/>
          <w:color w:val="000000"/>
          <w:szCs w:val="21"/>
        </w:rPr>
      </w:pPr>
      <w:r>
        <w:rPr>
          <w:rFonts w:hint="eastAsia" w:ascii="宋体" w:hAnsi="宋体"/>
          <w:color w:val="000000"/>
          <w:szCs w:val="21"/>
        </w:rPr>
        <w:t xml:space="preserve">  执行企业标准、团体标准、地方标准的产品，检验项目参照上述内容执行。</w:t>
      </w:r>
    </w:p>
    <w:p w14:paraId="49AD7852">
      <w:pPr>
        <w:snapToGrid w:val="0"/>
        <w:spacing w:line="440" w:lineRule="exact"/>
        <w:ind w:firstLine="210" w:firstLineChars="100"/>
        <w:rPr>
          <w:rFonts w:ascii="黑体" w:hAnsi="黑体" w:eastAsia="黑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6B013899">
      <w:pPr>
        <w:spacing w:line="440" w:lineRule="exact"/>
        <w:rPr>
          <w:rFonts w:ascii="黑体" w:hAnsi="黑体" w:eastAsia="黑体"/>
          <w:color w:val="000000"/>
          <w:szCs w:val="21"/>
        </w:rPr>
      </w:pPr>
      <w:r>
        <w:rPr>
          <w:rFonts w:hint="eastAsia" w:ascii="黑体" w:hAnsi="黑体" w:eastAsia="黑体"/>
          <w:color w:val="000000"/>
          <w:szCs w:val="21"/>
        </w:rPr>
        <w:t>3 判定规则</w:t>
      </w:r>
    </w:p>
    <w:p w14:paraId="4F7B06CD">
      <w:pPr>
        <w:snapToGrid w:val="0"/>
        <w:spacing w:line="440" w:lineRule="exact"/>
        <w:rPr>
          <w:rFonts w:ascii="宋体" w:hAnsi="宋体"/>
          <w:color w:val="000000"/>
          <w:szCs w:val="21"/>
        </w:rPr>
      </w:pPr>
      <w:r>
        <w:rPr>
          <w:rFonts w:hint="eastAsia" w:ascii="宋体" w:hAnsi="宋体"/>
          <w:color w:val="000000"/>
          <w:szCs w:val="21"/>
        </w:rPr>
        <w:t>3.1依据标准</w:t>
      </w:r>
    </w:p>
    <w:p w14:paraId="06482B38">
      <w:pPr>
        <w:snapToGrid w:val="0"/>
        <w:spacing w:line="440" w:lineRule="exact"/>
        <w:ind w:firstLine="315" w:firstLineChars="150"/>
        <w:rPr>
          <w:rFonts w:ascii="宋体" w:hAnsi="宋体"/>
          <w:color w:val="000000"/>
          <w:szCs w:val="21"/>
        </w:rPr>
      </w:pPr>
      <w:r>
        <w:rPr>
          <w:rFonts w:hint="eastAsia" w:ascii="宋体" w:hAnsi="宋体" w:cs="宋体"/>
          <w:kern w:val="0"/>
          <w:szCs w:val="21"/>
        </w:rPr>
        <w:t>GB 11174-2011</w:t>
      </w:r>
      <w:r>
        <w:rPr>
          <w:rFonts w:hint="eastAsia" w:ascii="宋体" w:hAnsi="宋体"/>
          <w:color w:val="000000"/>
          <w:szCs w:val="21"/>
        </w:rPr>
        <w:t xml:space="preserve"> 液化石油气</w:t>
      </w:r>
    </w:p>
    <w:p w14:paraId="28A887BE">
      <w:pPr>
        <w:snapToGrid w:val="0"/>
        <w:spacing w:line="440" w:lineRule="exact"/>
        <w:ind w:firstLine="359" w:firstLineChars="171"/>
        <w:rPr>
          <w:rFonts w:ascii="宋体" w:hAnsi="宋体"/>
          <w:color w:val="000000"/>
          <w:szCs w:val="21"/>
        </w:rPr>
      </w:pPr>
      <w:r>
        <w:rPr>
          <w:rFonts w:hint="eastAsia" w:ascii="宋体" w:hAnsi="宋体"/>
          <w:color w:val="000000"/>
          <w:szCs w:val="21"/>
        </w:rPr>
        <w:t>现行有效的企业标准、团体标准、地方标准及产品明示质量要求</w:t>
      </w:r>
    </w:p>
    <w:p w14:paraId="17E5FFBD">
      <w:pPr>
        <w:snapToGrid w:val="0"/>
        <w:spacing w:line="440" w:lineRule="exact"/>
        <w:rPr>
          <w:rFonts w:ascii="宋体" w:hAnsi="宋体"/>
          <w:color w:val="000000"/>
          <w:szCs w:val="21"/>
        </w:rPr>
      </w:pPr>
      <w:r>
        <w:rPr>
          <w:rFonts w:hint="eastAsia" w:ascii="宋体" w:hAnsi="宋体"/>
          <w:color w:val="000000"/>
          <w:szCs w:val="21"/>
        </w:rPr>
        <w:t>3.2判定原则</w:t>
      </w:r>
    </w:p>
    <w:p w14:paraId="7A24A1DF">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经检验，检验项目全部合格，判定为被抽查产品合格；检验项目中任一项或一项以上不合格，判定为被抽查产品不合格。</w:t>
      </w:r>
    </w:p>
    <w:p w14:paraId="56908BE9">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20DCC92E">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23CD7CA3">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14:paraId="1E0A2520">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52F2F14A">
      <w:pPr>
        <w:snapToGrid w:val="0"/>
        <w:spacing w:line="440" w:lineRule="exact"/>
        <w:ind w:firstLine="417" w:firstLineChars="199"/>
        <w:rPr>
          <w:rFonts w:eastAsia="方正小标宋简体"/>
          <w:sz w:val="32"/>
          <w:szCs w:val="32"/>
        </w:rPr>
      </w:pPr>
      <w:r>
        <w:rPr>
          <w:rFonts w:hint="eastAsia" w:ascii="宋体" w:hAnsi="宋体"/>
          <w:color w:val="000000"/>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275AC">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54258B0B">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7ABCC">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14:paraId="73A24D67">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03319">
    <w:pPr>
      <w:pStyle w:val="5"/>
      <w:rPr>
        <w:rFonts w:hint="eastAsia" w:eastAsia="宋体"/>
        <w:sz w:val="21"/>
        <w:szCs w:val="21"/>
        <w:lang w:val="en-US" w:eastAsia="zh-CN"/>
      </w:rPr>
    </w:pPr>
    <w:r>
      <w:rPr>
        <w:rFonts w:hint="eastAsia"/>
        <w:sz w:val="21"/>
        <w:szCs w:val="21"/>
      </w:rPr>
      <w:t>榕市监消则(202</w:t>
    </w:r>
    <w:r>
      <w:rPr>
        <w:rFonts w:hint="eastAsia"/>
        <w:sz w:val="21"/>
        <w:szCs w:val="21"/>
        <w:lang w:val="en-US" w:eastAsia="zh-CN"/>
      </w:rPr>
      <w:t>6</w:t>
    </w:r>
    <w:r>
      <w:rPr>
        <w:rFonts w:hint="eastAsia"/>
        <w:sz w:val="21"/>
        <w:szCs w:val="21"/>
      </w:rPr>
      <w:t>)-00</w:t>
    </w:r>
    <w:r>
      <w:rPr>
        <w:rFonts w:hint="eastAsia"/>
        <w:sz w:val="21"/>
        <w:szCs w:val="21"/>
        <w:lang w:val="en-US" w:eastAsia="zh-CN"/>
      </w:rPr>
      <w:t>8</w:t>
    </w:r>
  </w:p>
  <w:p w14:paraId="6195E20D">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47553"/>
    <w:multiLevelType w:val="multilevel"/>
    <w:tmpl w:val="1864755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g4OTg1NmNkMjkyNzk2OWIxODU2Nzg5ODExMzMzMzIifQ=="/>
  </w:docVars>
  <w:rsids>
    <w:rsidRoot w:val="00172A27"/>
    <w:rsid w:val="0000686D"/>
    <w:rsid w:val="0001050F"/>
    <w:rsid w:val="00017DBC"/>
    <w:rsid w:val="00026F86"/>
    <w:rsid w:val="00051A44"/>
    <w:rsid w:val="00057689"/>
    <w:rsid w:val="00081CBD"/>
    <w:rsid w:val="00083BFF"/>
    <w:rsid w:val="000976DE"/>
    <w:rsid w:val="001451F4"/>
    <w:rsid w:val="0016794F"/>
    <w:rsid w:val="00172A27"/>
    <w:rsid w:val="001809DD"/>
    <w:rsid w:val="001C47AC"/>
    <w:rsid w:val="001F5594"/>
    <w:rsid w:val="00234549"/>
    <w:rsid w:val="00247C1F"/>
    <w:rsid w:val="00253624"/>
    <w:rsid w:val="002C0C2E"/>
    <w:rsid w:val="002D7F8A"/>
    <w:rsid w:val="002E0D1D"/>
    <w:rsid w:val="00304F89"/>
    <w:rsid w:val="0031535E"/>
    <w:rsid w:val="00317066"/>
    <w:rsid w:val="003203A3"/>
    <w:rsid w:val="00342E19"/>
    <w:rsid w:val="003446C2"/>
    <w:rsid w:val="00350620"/>
    <w:rsid w:val="0036169E"/>
    <w:rsid w:val="00392BC0"/>
    <w:rsid w:val="003B68B1"/>
    <w:rsid w:val="003C388C"/>
    <w:rsid w:val="003D0718"/>
    <w:rsid w:val="003E61BF"/>
    <w:rsid w:val="003F5271"/>
    <w:rsid w:val="00405195"/>
    <w:rsid w:val="004218A4"/>
    <w:rsid w:val="00445E86"/>
    <w:rsid w:val="00463084"/>
    <w:rsid w:val="00474E04"/>
    <w:rsid w:val="004D0C5A"/>
    <w:rsid w:val="004E1396"/>
    <w:rsid w:val="005130A6"/>
    <w:rsid w:val="0053585E"/>
    <w:rsid w:val="00555584"/>
    <w:rsid w:val="00563EBC"/>
    <w:rsid w:val="0059037A"/>
    <w:rsid w:val="005A46FD"/>
    <w:rsid w:val="005B279B"/>
    <w:rsid w:val="005B3D2C"/>
    <w:rsid w:val="005C64A5"/>
    <w:rsid w:val="005E18E3"/>
    <w:rsid w:val="00602838"/>
    <w:rsid w:val="00626821"/>
    <w:rsid w:val="006268AE"/>
    <w:rsid w:val="00632B48"/>
    <w:rsid w:val="0064283F"/>
    <w:rsid w:val="00666A3E"/>
    <w:rsid w:val="00677D63"/>
    <w:rsid w:val="00686365"/>
    <w:rsid w:val="006C1927"/>
    <w:rsid w:val="006D7C95"/>
    <w:rsid w:val="006F0971"/>
    <w:rsid w:val="007045AA"/>
    <w:rsid w:val="0072334C"/>
    <w:rsid w:val="00732580"/>
    <w:rsid w:val="00750E96"/>
    <w:rsid w:val="00772108"/>
    <w:rsid w:val="007D54F6"/>
    <w:rsid w:val="007D6DB9"/>
    <w:rsid w:val="0080209A"/>
    <w:rsid w:val="00814C87"/>
    <w:rsid w:val="00840F89"/>
    <w:rsid w:val="00844720"/>
    <w:rsid w:val="0085578A"/>
    <w:rsid w:val="00861873"/>
    <w:rsid w:val="00865957"/>
    <w:rsid w:val="00895BEA"/>
    <w:rsid w:val="008A3497"/>
    <w:rsid w:val="008E19A5"/>
    <w:rsid w:val="00917A54"/>
    <w:rsid w:val="00962E08"/>
    <w:rsid w:val="00992C28"/>
    <w:rsid w:val="009A0B79"/>
    <w:rsid w:val="009A1BAB"/>
    <w:rsid w:val="009F6F6C"/>
    <w:rsid w:val="00A10ECA"/>
    <w:rsid w:val="00A24A8E"/>
    <w:rsid w:val="00A43553"/>
    <w:rsid w:val="00A617C7"/>
    <w:rsid w:val="00A83D8B"/>
    <w:rsid w:val="00AD2C57"/>
    <w:rsid w:val="00AF3303"/>
    <w:rsid w:val="00B13652"/>
    <w:rsid w:val="00B96FA7"/>
    <w:rsid w:val="00BF6CE3"/>
    <w:rsid w:val="00C26074"/>
    <w:rsid w:val="00C50ECC"/>
    <w:rsid w:val="00C7182B"/>
    <w:rsid w:val="00C80AF7"/>
    <w:rsid w:val="00C83B0A"/>
    <w:rsid w:val="00CA2252"/>
    <w:rsid w:val="00CE1E0C"/>
    <w:rsid w:val="00CE277E"/>
    <w:rsid w:val="00CF271B"/>
    <w:rsid w:val="00D4084D"/>
    <w:rsid w:val="00D56867"/>
    <w:rsid w:val="00D674B7"/>
    <w:rsid w:val="00D8602C"/>
    <w:rsid w:val="00DA5CFC"/>
    <w:rsid w:val="00DC4759"/>
    <w:rsid w:val="00DD10B7"/>
    <w:rsid w:val="00DD27E3"/>
    <w:rsid w:val="00DE3698"/>
    <w:rsid w:val="00DE4CC2"/>
    <w:rsid w:val="00E02A7F"/>
    <w:rsid w:val="00E07880"/>
    <w:rsid w:val="00E42DE9"/>
    <w:rsid w:val="00E82621"/>
    <w:rsid w:val="00EB52D2"/>
    <w:rsid w:val="00EC5208"/>
    <w:rsid w:val="00F036AE"/>
    <w:rsid w:val="00F21D96"/>
    <w:rsid w:val="00F25B26"/>
    <w:rsid w:val="00F74840"/>
    <w:rsid w:val="00F77C9A"/>
    <w:rsid w:val="00FB3C51"/>
    <w:rsid w:val="00FB576C"/>
    <w:rsid w:val="00FD2AA6"/>
    <w:rsid w:val="00FE1233"/>
    <w:rsid w:val="00FE7E8A"/>
    <w:rsid w:val="01C23809"/>
    <w:rsid w:val="04D91DBD"/>
    <w:rsid w:val="130F0A5E"/>
    <w:rsid w:val="152D02D1"/>
    <w:rsid w:val="1A661698"/>
    <w:rsid w:val="1B375EA8"/>
    <w:rsid w:val="1FD0606D"/>
    <w:rsid w:val="28B900C3"/>
    <w:rsid w:val="2E5C0A51"/>
    <w:rsid w:val="306C0230"/>
    <w:rsid w:val="32405A0E"/>
    <w:rsid w:val="38595FB1"/>
    <w:rsid w:val="38A54984"/>
    <w:rsid w:val="39BD36E4"/>
    <w:rsid w:val="39BD5228"/>
    <w:rsid w:val="3FBA1533"/>
    <w:rsid w:val="405E1546"/>
    <w:rsid w:val="40B470AC"/>
    <w:rsid w:val="4BDD004F"/>
    <w:rsid w:val="5BF838F4"/>
    <w:rsid w:val="5C8F3D39"/>
    <w:rsid w:val="60584835"/>
    <w:rsid w:val="695F3E4D"/>
    <w:rsid w:val="6AA80737"/>
    <w:rsid w:val="6D275504"/>
    <w:rsid w:val="745C56B8"/>
    <w:rsid w:val="764434F1"/>
    <w:rsid w:val="795A3B02"/>
    <w:rsid w:val="7D967064"/>
    <w:rsid w:val="7DD47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uiPriority w:val="99"/>
    <w:pPr>
      <w:jc w:val="left"/>
    </w:pPr>
  </w:style>
  <w:style w:type="paragraph" w:styleId="3">
    <w:name w:val="Balloon Text"/>
    <w:basedOn w:val="1"/>
    <w:link w:val="9"/>
    <w:unhideWhenUsed/>
    <w:qFormat/>
    <w:uiPriority w:val="99"/>
    <w:rPr>
      <w:sz w:val="18"/>
      <w:szCs w:val="18"/>
    </w:r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uiPriority w:val="0"/>
  </w:style>
  <w:style w:type="character" w:customStyle="1" w:styleId="9">
    <w:name w:val="批注框文本 Char"/>
    <w:link w:val="3"/>
    <w:semiHidden/>
    <w:uiPriority w:val="99"/>
    <w:rPr>
      <w:kern w:val="2"/>
      <w:sz w:val="18"/>
      <w:szCs w:val="18"/>
    </w:rPr>
  </w:style>
  <w:style w:type="character" w:customStyle="1" w:styleId="10">
    <w:name w:val="页脚 Char"/>
    <w:link w:val="4"/>
    <w:uiPriority w:val="99"/>
    <w:rPr>
      <w:kern w:val="2"/>
      <w:sz w:val="18"/>
      <w:szCs w:val="18"/>
    </w:rPr>
  </w:style>
  <w:style w:type="character" w:customStyle="1" w:styleId="11">
    <w:name w:val="页眉 Char"/>
    <w:link w:val="5"/>
    <w:uiPriority w:val="99"/>
    <w:rPr>
      <w:kern w:val="2"/>
      <w:sz w:val="18"/>
      <w:szCs w:val="18"/>
    </w:rPr>
  </w:style>
  <w:style w:type="paragraph" w:customStyle="1" w:styleId="12">
    <w:name w:val="列出段落1"/>
    <w:basedOn w:val="1"/>
    <w:qFormat/>
    <w:uiPriority w:val="34"/>
    <w:pPr>
      <w:ind w:firstLine="420" w:firstLineChars="200"/>
    </w:pPr>
    <w:rPr>
      <w:rFonts w:ascii="Calibri" w:hAnsi="Calibri"/>
      <w:szCs w:val="22"/>
    </w:rPr>
  </w:style>
  <w:style w:type="paragraph" w:customStyle="1" w:styleId="13">
    <w:name w:val="Revision"/>
    <w:unhideWhenUsed/>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A73FB-96DE-4183-95DA-16988E228030}">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696</Words>
  <Characters>846</Characters>
  <Lines>6</Lines>
  <Paragraphs>1</Paragraphs>
  <TotalTime>44</TotalTime>
  <ScaleCrop>false</ScaleCrop>
  <LinksUpToDate>false</LinksUpToDate>
  <CharactersWithSpaces>869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2024-04-15T06:35:00Z</dcterms:created>
  <dc:creator>Legend User</dc:creator>
  <cp:lastModifiedBy>浪花朵朵</cp:lastModifiedBy>
  <cp:lastPrinted>2022-05-16T00:39:00Z</cp:lastPrinted>
  <dcterms:modified xsi:type="dcterms:W3CDTF">2026-03-28T02:21:12Z</dcterms:modified>
  <dc:title>××产品质量监督抽查实施细则</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530CB7C7956740DA8D69631E57F0B6F0_12</vt:lpwstr>
  </property>
  <property fmtid="{D5CDD505-2E9C-101B-9397-08002B2CF9AE}" pid="4" name="KSOTemplateDocerSaveRecord">
    <vt:lpwstr>eyJoZGlkIjoiNDA3YjAzNzhiY2U2ZDViNWVhZmExZTYzNDg3NDNmOTAiLCJ1c2VySWQiOiI5MDgyMzM3NDAifQ==</vt:lpwstr>
  </property>
</Properties>
</file>